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72624" w:rsidRDefault="00D72624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FE710C" w:rsidRPr="009C360E" w:rsidRDefault="00FE710C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FE710C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841E19" w:rsidRPr="003B1870">
        <w:rPr>
          <w:rFonts w:ascii="Book Antiqua" w:hAnsi="Book Antiqua"/>
          <w:b/>
          <w:sz w:val="22"/>
          <w:szCs w:val="22"/>
        </w:rPr>
        <w:t>sukcesywny</w:t>
      </w:r>
      <w:r w:rsidR="00841E19">
        <w:rPr>
          <w:rFonts w:ascii="Book Antiqua" w:hAnsi="Book Antiqua"/>
          <w:sz w:val="22"/>
          <w:szCs w:val="22"/>
        </w:rPr>
        <w:t xml:space="preserve"> </w:t>
      </w:r>
      <w:r w:rsidR="00841E19">
        <w:rPr>
          <w:rFonts w:ascii="Book Antiqua" w:hAnsi="Book Antiqua"/>
          <w:b/>
          <w:sz w:val="22"/>
          <w:szCs w:val="22"/>
        </w:rPr>
        <w:t xml:space="preserve">zakup paliw płynnych </w:t>
      </w:r>
      <w:r w:rsidR="00841E19">
        <w:rPr>
          <w:rFonts w:ascii="Book Antiqua" w:hAnsi="Book Antiqua"/>
          <w:b/>
          <w:sz w:val="22"/>
          <w:szCs w:val="22"/>
        </w:rPr>
        <w:br/>
        <w:t>do pojazdów pożarniczych oraz sprzętu s</w:t>
      </w:r>
      <w:r w:rsidR="00BD7E92">
        <w:rPr>
          <w:rFonts w:ascii="Book Antiqua" w:hAnsi="Book Antiqua"/>
          <w:b/>
          <w:sz w:val="22"/>
          <w:szCs w:val="22"/>
        </w:rPr>
        <w:t xml:space="preserve">palinowego będącego </w:t>
      </w:r>
      <w:r w:rsidR="00505169">
        <w:rPr>
          <w:rFonts w:ascii="Book Antiqua" w:hAnsi="Book Antiqua"/>
          <w:b/>
          <w:sz w:val="22"/>
          <w:szCs w:val="22"/>
        </w:rPr>
        <w:t>na stanie</w:t>
      </w:r>
      <w:bookmarkStart w:id="0" w:name="_GoBack"/>
      <w:bookmarkEnd w:id="0"/>
      <w:r w:rsidR="00BD7E92">
        <w:rPr>
          <w:rFonts w:ascii="Book Antiqua" w:hAnsi="Book Antiqua"/>
          <w:b/>
          <w:sz w:val="22"/>
          <w:szCs w:val="22"/>
        </w:rPr>
        <w:t xml:space="preserve"> jednostek o</w:t>
      </w:r>
      <w:r w:rsidR="00841E19">
        <w:rPr>
          <w:rFonts w:ascii="Book Antiqua" w:hAnsi="Book Antiqua"/>
          <w:b/>
          <w:sz w:val="22"/>
          <w:szCs w:val="22"/>
        </w:rPr>
        <w:t xml:space="preserve">chotniczych </w:t>
      </w:r>
      <w:r w:rsidR="00BD7E92">
        <w:rPr>
          <w:rFonts w:ascii="Book Antiqua" w:hAnsi="Book Antiqua"/>
          <w:b/>
          <w:sz w:val="22"/>
          <w:szCs w:val="22"/>
        </w:rPr>
        <w:t>straży p</w:t>
      </w:r>
      <w:r w:rsidR="00841E19">
        <w:rPr>
          <w:rFonts w:ascii="Book Antiqua" w:hAnsi="Book Antiqua"/>
          <w:b/>
          <w:sz w:val="22"/>
          <w:szCs w:val="22"/>
        </w:rPr>
        <w:t>ożarnych Gminy Toszek  w 20</w:t>
      </w:r>
      <w:r w:rsidR="00EF5D62">
        <w:rPr>
          <w:rFonts w:ascii="Book Antiqua" w:hAnsi="Book Antiqua"/>
          <w:b/>
          <w:sz w:val="22"/>
          <w:szCs w:val="22"/>
        </w:rPr>
        <w:t>2</w:t>
      </w:r>
      <w:r w:rsidR="00606B97">
        <w:rPr>
          <w:rFonts w:ascii="Book Antiqua" w:hAnsi="Book Antiqua"/>
          <w:b/>
          <w:sz w:val="22"/>
          <w:szCs w:val="22"/>
        </w:rPr>
        <w:t>1</w:t>
      </w:r>
      <w:r w:rsidR="00841E19">
        <w:rPr>
          <w:rFonts w:ascii="Book Antiqua" w:hAnsi="Book Antiqua"/>
          <w:b/>
          <w:sz w:val="22"/>
          <w:szCs w:val="22"/>
        </w:rPr>
        <w:t xml:space="preserve"> r. 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FE710C" w:rsidRPr="00841E19" w:rsidRDefault="00FE710C" w:rsidP="00841E19">
      <w:pPr>
        <w:pStyle w:val="Akapitzlist"/>
        <w:widowControl w:val="0"/>
        <w:numPr>
          <w:ilvl w:val="0"/>
          <w:numId w:val="4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  <w:lang w:eastAsia="zh-CN"/>
        </w:rPr>
      </w:pPr>
      <w:r w:rsidRPr="00841E1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556ECF" w:rsidRDefault="00FE710C" w:rsidP="00556ECF">
      <w:pPr>
        <w:pStyle w:val="Standard"/>
        <w:numPr>
          <w:ilvl w:val="0"/>
          <w:numId w:val="4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56ECF" w:rsidRDefault="00556ECF" w:rsidP="00556ECF">
      <w:pPr>
        <w:pStyle w:val="Akapitzlist"/>
        <w:rPr>
          <w:rFonts w:ascii="Book Antiqua" w:hAnsi="Book Antiqua"/>
          <w:sz w:val="22"/>
          <w:szCs w:val="22"/>
        </w:rPr>
      </w:pPr>
    </w:p>
    <w:p w:rsidR="00E35C01" w:rsidRDefault="00E765D4" w:rsidP="00E35C01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56ECF">
        <w:rPr>
          <w:rFonts w:ascii="Book Antiqua" w:hAnsi="Book Antiqua"/>
          <w:sz w:val="22"/>
          <w:szCs w:val="22"/>
        </w:rPr>
        <w:t xml:space="preserve">Oświadczam, że  </w:t>
      </w:r>
      <w:r w:rsidR="00630722">
        <w:rPr>
          <w:rFonts w:ascii="Book Antiqua" w:hAnsi="Book Antiqua"/>
          <w:sz w:val="22"/>
          <w:szCs w:val="22"/>
        </w:rPr>
        <w:t>oferowane paliwo spełnia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normy</w:t>
      </w:r>
      <w:r w:rsidRPr="00556ECF">
        <w:rPr>
          <w:rFonts w:ascii="Book Antiqua" w:hAnsi="Book Antiqua"/>
          <w:sz w:val="22"/>
          <w:szCs w:val="22"/>
        </w:rPr>
        <w:t xml:space="preserve"> jakościowe </w:t>
      </w:r>
      <w:r w:rsidR="00556ECF">
        <w:rPr>
          <w:rFonts w:ascii="Book Antiqua" w:hAnsi="Book Antiqua"/>
          <w:sz w:val="22"/>
          <w:szCs w:val="22"/>
        </w:rPr>
        <w:t>zgodnie z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obowiązującymi przepisami prawa</w:t>
      </w:r>
      <w:r w:rsidRPr="00556ECF">
        <w:rPr>
          <w:rFonts w:ascii="Book Antiqua" w:hAnsi="Book Antiqua"/>
          <w:sz w:val="22"/>
          <w:szCs w:val="22"/>
        </w:rPr>
        <w:t>.</w:t>
      </w:r>
    </w:p>
    <w:p w:rsidR="00FE710C" w:rsidRPr="00556ECF" w:rsidRDefault="00FE710C" w:rsidP="00E35C01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72624" w:rsidRDefault="00D72624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841E19" w:rsidRDefault="00841E19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Aktualna koncesja Urzędu Regulacji Energetyki na  obrót paliwami </w:t>
      </w:r>
      <w:r w:rsidR="00F7493A">
        <w:rPr>
          <w:rFonts w:ascii="Book Antiqua" w:hAnsi="Book Antiqua"/>
          <w:sz w:val="16"/>
          <w:szCs w:val="16"/>
        </w:rPr>
        <w:t>płynnymi</w:t>
      </w:r>
      <w:r w:rsidR="00BD7E92">
        <w:rPr>
          <w:rFonts w:ascii="Book Antiqua" w:hAnsi="Book Antiqua"/>
          <w:sz w:val="16"/>
          <w:szCs w:val="16"/>
        </w:rPr>
        <w:t>.</w:t>
      </w:r>
    </w:p>
    <w:p w:rsidR="00D72624" w:rsidRDefault="00D72624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0C"/>
    <w:rsid w:val="00102271"/>
    <w:rsid w:val="00140977"/>
    <w:rsid w:val="00182DC7"/>
    <w:rsid w:val="00214940"/>
    <w:rsid w:val="003F5D15"/>
    <w:rsid w:val="004230F5"/>
    <w:rsid w:val="00423A58"/>
    <w:rsid w:val="00483DD0"/>
    <w:rsid w:val="004C54EF"/>
    <w:rsid w:val="00505169"/>
    <w:rsid w:val="00556ECF"/>
    <w:rsid w:val="005918FA"/>
    <w:rsid w:val="00606B97"/>
    <w:rsid w:val="00630722"/>
    <w:rsid w:val="007535F8"/>
    <w:rsid w:val="00780267"/>
    <w:rsid w:val="00841E19"/>
    <w:rsid w:val="009B03BE"/>
    <w:rsid w:val="00A7762E"/>
    <w:rsid w:val="00AD256C"/>
    <w:rsid w:val="00B00BEC"/>
    <w:rsid w:val="00BB02E7"/>
    <w:rsid w:val="00BD7E92"/>
    <w:rsid w:val="00D72624"/>
    <w:rsid w:val="00E02946"/>
    <w:rsid w:val="00E35C01"/>
    <w:rsid w:val="00E765D4"/>
    <w:rsid w:val="00EF5D62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ED26"/>
  <w15:docId w15:val="{C7BCBD29-E389-47AF-B02C-22AA845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USO</cp:lastModifiedBy>
  <cp:revision>2</cp:revision>
  <cp:lastPrinted>2020-12-15T12:27:00Z</cp:lastPrinted>
  <dcterms:created xsi:type="dcterms:W3CDTF">2020-12-15T14:03:00Z</dcterms:created>
  <dcterms:modified xsi:type="dcterms:W3CDTF">2020-12-15T14:03:00Z</dcterms:modified>
</cp:coreProperties>
</file>