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do projektu uchwały zmieniającej uchwałę</w:t>
      </w:r>
    </w:p>
    <w:p w:rsidR="009C1267" w:rsidRDefault="00482A7B" w:rsidP="00482A7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 sprawie uchwalenia Statutu Gminy Toszek</w:t>
      </w:r>
    </w:p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0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0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1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1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  <w:bookmarkStart w:id="2" w:name="_GoBack"/>
      <w:bookmarkEnd w:id="2"/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B72D82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proofErr w:type="spellStart"/>
      <w:r w:rsidRPr="00F94254">
        <w:rPr>
          <w:rFonts w:ascii="Book Antiqua" w:hAnsi="Book Antiqua"/>
          <w:b/>
          <w:sz w:val="19"/>
          <w:szCs w:val="19"/>
        </w:rPr>
        <w:t>ido@netkoncept</w:t>
      </w:r>
      <w:proofErr w:type="spellEnd"/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C56FBB" w:rsidRDefault="00C56FBB" w:rsidP="00C56FBB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483465" w:rsidRDefault="00483465" w:rsidP="00483465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C5" w:rsidRDefault="00F742C5">
      <w:r>
        <w:separator/>
      </w:r>
    </w:p>
  </w:endnote>
  <w:endnote w:type="continuationSeparator" w:id="0">
    <w:p w:rsidR="00F742C5" w:rsidRDefault="00F7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82A7B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82A7B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C5" w:rsidRDefault="00F742C5">
      <w:r>
        <w:separator/>
      </w:r>
    </w:p>
  </w:footnote>
  <w:footnote w:type="continuationSeparator" w:id="0">
    <w:p w:rsidR="00F742C5" w:rsidRDefault="00F742C5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482A7B">
      <w:rPr>
        <w:rFonts w:ascii="Book Antiqua" w:hAnsi="Book Antiqua"/>
        <w:sz w:val="20"/>
        <w:szCs w:val="20"/>
      </w:rPr>
      <w:t>.220</w:t>
    </w:r>
    <w:r w:rsidR="00ED1FF3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482A7B">
      <w:rPr>
        <w:rFonts w:ascii="Book Antiqua" w:hAnsi="Book Antiqua"/>
        <w:sz w:val="20"/>
        <w:szCs w:val="20"/>
      </w:rPr>
      <w:t>18 września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82A7B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B4F3-2FE0-40AC-8111-AEE7FC74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Dominika</cp:lastModifiedBy>
  <cp:revision>65</cp:revision>
  <cp:lastPrinted>2018-09-18T09:47:00Z</cp:lastPrinted>
  <dcterms:created xsi:type="dcterms:W3CDTF">2015-08-04T10:19:00Z</dcterms:created>
  <dcterms:modified xsi:type="dcterms:W3CDTF">2018-09-18T09:47:00Z</dcterms:modified>
</cp:coreProperties>
</file>