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836"/>
        <w:gridCol w:w="1134"/>
        <w:gridCol w:w="1560"/>
        <w:gridCol w:w="1134"/>
        <w:gridCol w:w="1417"/>
        <w:gridCol w:w="992"/>
        <w:gridCol w:w="1418"/>
        <w:gridCol w:w="1653"/>
      </w:tblGrid>
      <w:tr w:rsidR="00BD7512" w:rsidRPr="00002BCB" w:rsidTr="00BB2E57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0F7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w okresie trwania 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BB2E57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bookmarkStart w:id="0" w:name="OLE_LINK1"/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  <w:bookmarkEnd w:id="0"/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vAlign w:val="center"/>
          </w:tcPr>
          <w:p w:rsidR="00BD7512" w:rsidRDefault="004404F8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koncen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trat do mycia powierzchni </w:t>
            </w:r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D429DA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</w:t>
            </w:r>
            <w:r w:rsidR="00BB2E57">
              <w:rPr>
                <w:rFonts w:ascii="Book Antiqua" w:hAnsi="Book Antiqua"/>
                <w:sz w:val="18"/>
                <w:szCs w:val="18"/>
              </w:rPr>
              <w:t>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ntrat do mycia powierzchni </w:t>
            </w:r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</w:t>
            </w:r>
            <w:r w:rsidR="0068075A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 xml:space="preserve">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nie więcej niż </w:t>
            </w:r>
            <w:r w:rsidR="00BB2E57">
              <w:rPr>
                <w:rFonts w:ascii="Book Antiqua" w:hAnsi="Book Antiqua"/>
                <w:sz w:val="18"/>
                <w:szCs w:val="18"/>
              </w:rPr>
              <w:t>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6C72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/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695"/>
        <w:gridCol w:w="1134"/>
        <w:gridCol w:w="1701"/>
        <w:gridCol w:w="1134"/>
        <w:gridCol w:w="1417"/>
        <w:gridCol w:w="992"/>
        <w:gridCol w:w="1276"/>
        <w:gridCol w:w="1559"/>
      </w:tblGrid>
      <w:tr w:rsidR="00A441D3" w:rsidTr="00BB2E57">
        <w:trPr>
          <w:trHeight w:val="533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A441D3" w:rsidRPr="00455430" w:rsidRDefault="0041109D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lastRenderedPageBreak/>
              <w:br w:type="page"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BB2E57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1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6C726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1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BB2E5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429DA">
              <w:rPr>
                <w:rFonts w:ascii="Book Antiqua" w:hAnsi="Book Antiqua"/>
                <w:sz w:val="18"/>
                <w:szCs w:val="18"/>
              </w:rPr>
              <w:t>m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Default="004404F8" w:rsidP="006C72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C726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1" w:type="dxa"/>
          </w:tcPr>
          <w:p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</w:t>
            </w:r>
            <w:r w:rsidR="00667CC7">
              <w:rPr>
                <w:rFonts w:ascii="Book Antiqua" w:hAnsi="Book Antiqua"/>
                <w:sz w:val="18"/>
                <w:szCs w:val="18"/>
              </w:rPr>
              <w:t>. Dozowanie: nie więcej niż 100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701" w:type="dxa"/>
            <w:vAlign w:val="center"/>
          </w:tcPr>
          <w:p w:rsidR="00287E21" w:rsidRPr="00111391" w:rsidRDefault="007E570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1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</w:t>
            </w:r>
            <w:r w:rsidR="00667CC7">
              <w:rPr>
                <w:rFonts w:ascii="Book Antiqua" w:hAnsi="Book Antiqua"/>
                <w:sz w:val="18"/>
                <w:szCs w:val="18"/>
              </w:rPr>
              <w:t>cha. Dozowanie: nie więcej niż 10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Pr="00111391" w:rsidRDefault="006C726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5C0440" w:rsidTr="00827A66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BB2E57" w:rsidRPr="003247D0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1" w:type="dxa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Żel do WC usuwający uporczywe zabrudzenia jak wapń, rdza, kamień urynowy</w:t>
            </w:r>
          </w:p>
        </w:tc>
        <w:tc>
          <w:tcPr>
            <w:tcW w:w="1695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BB2E57" w:rsidRPr="00111391" w:rsidRDefault="00BB2E57" w:rsidP="00BB2E57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B2E57" w:rsidRPr="00111391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p w:rsidR="0041109D" w:rsidRDefault="0041109D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Pr="00C00750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tbl>
      <w:tblPr>
        <w:tblStyle w:val="Tabela-Siatka1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134"/>
        <w:gridCol w:w="1701"/>
        <w:gridCol w:w="1134"/>
        <w:gridCol w:w="1417"/>
        <w:gridCol w:w="992"/>
        <w:gridCol w:w="1276"/>
        <w:gridCol w:w="1559"/>
      </w:tblGrid>
      <w:tr w:rsidR="00C00750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hRule="exact" w:val="680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Żel do WC usuwający uporczywe zabrudzenia jak wapń, rdza, kamień urynowy</w:t>
            </w:r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vAlign w:val="center"/>
          </w:tcPr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2042BC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="002042BC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2F97" w:rsidRDefault="00902F9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902F97" w:rsidRPr="00FF0325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02F97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2F97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04F8" w:rsidRDefault="000B120F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</w:t>
            </w:r>
            <w:r w:rsidR="002613A2">
              <w:rPr>
                <w:rFonts w:ascii="Book Antiqua" w:hAnsi="Book Antiqua"/>
                <w:sz w:val="18"/>
                <w:szCs w:val="18"/>
              </w:rPr>
              <w:t>. Zalecany do mycia i pielęgnacji podłogowych i ściennych paneli laminowanych, jak również oklein meblowych, lakierowanego drewna. Nie pozostawia smug i zacieków.</w:t>
            </w:r>
          </w:p>
          <w:p w:rsidR="004404F8" w:rsidRDefault="002613A2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8116B">
              <w:rPr>
                <w:rFonts w:ascii="Book Antiqua" w:hAnsi="Book Antiqua"/>
                <w:sz w:val="18"/>
                <w:szCs w:val="18"/>
              </w:rPr>
              <w:t>n</w:t>
            </w:r>
            <w:r w:rsidR="001A67AE">
              <w:rPr>
                <w:rFonts w:ascii="Book Antiqua" w:hAnsi="Book Antiqua"/>
                <w:sz w:val="18"/>
                <w:szCs w:val="18"/>
              </w:rPr>
              <w:t>ie więcej niż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podłoży. Zalecany do mycia i pielęgnacji podłogowych i ściennych paneli laminowanych, jak również oklein meblowych, lakierowanego drewna. Nie pozostawia smug i zacieków.</w:t>
            </w:r>
          </w:p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57" w:rsidRPr="00812A45" w:rsidRDefault="00BB2E57" w:rsidP="00BB2E5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>
      <w:r>
        <w:br w:type="page"/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275"/>
        <w:gridCol w:w="1560"/>
        <w:gridCol w:w="1134"/>
        <w:gridCol w:w="1417"/>
        <w:gridCol w:w="992"/>
        <w:gridCol w:w="1276"/>
        <w:gridCol w:w="1417"/>
      </w:tblGrid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902F97" w:rsidRPr="00FF0325" w:rsidRDefault="00BB2E5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902F97" w:rsidRPr="00FF0325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136963" w:rsidRDefault="002042BC" w:rsidP="002042BC">
            <w:pPr>
              <w:rPr>
                <w:rFonts w:ascii="Book Antiqua" w:hAnsi="Book Antiqua"/>
                <w:sz w:val="18"/>
              </w:rPr>
            </w:pPr>
            <w:r w:rsidRPr="00136963">
              <w:rPr>
                <w:rFonts w:ascii="Book Antiqua" w:hAnsi="Book Antiqua"/>
                <w:sz w:val="18"/>
              </w:rPr>
              <w:t xml:space="preserve">Płyn  do  </w:t>
            </w:r>
            <w:r>
              <w:rPr>
                <w:rFonts w:ascii="Book Antiqua" w:hAnsi="Book Antiqua"/>
                <w:sz w:val="18"/>
              </w:rPr>
              <w:t>mycia monito</w:t>
            </w:r>
            <w:r w:rsidRPr="00136963">
              <w:rPr>
                <w:rFonts w:ascii="Book Antiqua" w:hAnsi="Book Antiqua"/>
                <w:sz w:val="18"/>
              </w:rPr>
              <w:t xml:space="preserve">rów,  </w:t>
            </w:r>
            <w:r>
              <w:rPr>
                <w:rFonts w:ascii="Book Antiqua" w:hAnsi="Book Antiqua"/>
                <w:sz w:val="18"/>
              </w:rPr>
              <w:t>ekranów </w:t>
            </w:r>
            <w:r>
              <w:rPr>
                <w:rFonts w:ascii="Book Antiqua" w:hAnsi="Book Antiqua"/>
                <w:sz w:val="18"/>
              </w:rPr>
              <w:br/>
              <w:t xml:space="preserve">plazmowych,  LCD,  TV, </w:t>
            </w:r>
            <w:r w:rsidRPr="00136963">
              <w:rPr>
                <w:rFonts w:ascii="Book Antiqua" w:hAnsi="Book Antiqua"/>
                <w:sz w:val="18"/>
              </w:rPr>
              <w:t>wyświetlacza,</w:t>
            </w:r>
            <w:r>
              <w:rPr>
                <w:rFonts w:ascii="Book Antiqua" w:hAnsi="Book Antiqua"/>
                <w:sz w:val="18"/>
              </w:rPr>
              <w:t xml:space="preserve"> </w:t>
            </w:r>
            <w:r w:rsidRPr="00136963">
              <w:rPr>
                <w:rFonts w:ascii="Book Antiqua" w:hAnsi="Book Antiqua"/>
                <w:sz w:val="18"/>
              </w:rPr>
              <w:t>klawiatury</w:t>
            </w:r>
            <w:r>
              <w:rPr>
                <w:rFonts w:ascii="Book Antiqua" w:hAnsi="Book Antiqua"/>
                <w:sz w:val="18"/>
              </w:rPr>
              <w:t>, telefonu komórkoweg</w:t>
            </w:r>
            <w:r w:rsidRPr="00136963">
              <w:rPr>
                <w:rFonts w:ascii="Book Antiqua" w:hAnsi="Book Antiqua"/>
                <w:sz w:val="18"/>
              </w:rPr>
              <w:t xml:space="preserve">o oraz pilota. Skutecznie  </w:t>
            </w:r>
            <w:r>
              <w:rPr>
                <w:rFonts w:ascii="Book Antiqua" w:hAnsi="Book Antiqua"/>
                <w:sz w:val="18"/>
              </w:rPr>
              <w:t>zmywa z powierzchni gładkich</w:t>
            </w:r>
            <w:r>
              <w:rPr>
                <w:rFonts w:ascii="Book Antiqua" w:hAnsi="Book Antiqua"/>
                <w:sz w:val="18"/>
              </w:rPr>
              <w:br/>
              <w:t>i porowatych ślady rąk, tłuste plamy, naturalny brud i kurz. Pozostawia przyjemny zapach. Przyjazny dla alergików. Nie zawiera alkoholu.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(0,6 litra)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7E570A" w:rsidRDefault="002042BC" w:rsidP="002042BC">
            <w:pPr>
              <w:shd w:val="clear" w:color="auto" w:fill="FFFFFF"/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Preparat do utrzymywania czystości 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powierzchni błyszczących. Doskonale myje, pielęgnuje, nabłyszcza i  zabezpiecza przed wnikaniem kurzu w meble, blaty, poręcze, parapety, wyposażenie wnętrz oraz posadzki i boazerie. C</w:t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z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yści, pielęgnuje nadaje połysk. Nie natłuszcza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br/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i nie odkłada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 się warstwami. Przyjemny zapach.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 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570A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E570A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570A" w:rsidRPr="007E570A" w:rsidRDefault="007E570A" w:rsidP="007E570A">
            <w:pPr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hAnsi="Book Antiqua"/>
                <w:sz w:val="18"/>
              </w:rPr>
              <w:t>Mleczko przeznaczone do zabezpieczania wszystkich powierzchni lakierowanych</w:t>
            </w:r>
            <w:r w:rsidR="001A67AE">
              <w:rPr>
                <w:rFonts w:ascii="Book Antiqua" w:hAnsi="Book Antiqua"/>
                <w:sz w:val="18"/>
              </w:rPr>
              <w:br/>
              <w:t>(w szczególności mebli lakierowanych</w:t>
            </w:r>
            <w:r w:rsidR="0041109D">
              <w:rPr>
                <w:rFonts w:ascii="Book Antiqua" w:hAnsi="Book Antiqua"/>
                <w:sz w:val="18"/>
              </w:rPr>
              <w:t xml:space="preserve"> </w:t>
            </w:r>
            <w:r w:rsidR="0041109D">
              <w:rPr>
                <w:rFonts w:ascii="Book Antiqua" w:hAnsi="Book Antiqua"/>
                <w:sz w:val="18"/>
              </w:rPr>
              <w:br/>
            </w:r>
            <w:r w:rsidR="001A67AE">
              <w:rPr>
                <w:rFonts w:ascii="Book Antiqua" w:hAnsi="Book Antiqua"/>
                <w:sz w:val="18"/>
              </w:rPr>
              <w:t>z połyskiem). Nie pozostawia tłustych plam</w:t>
            </w:r>
            <w:r w:rsidR="001A67AE">
              <w:rPr>
                <w:rFonts w:ascii="Book Antiqua" w:hAnsi="Book Antiqua"/>
                <w:sz w:val="18"/>
              </w:rPr>
              <w:br/>
            </w:r>
            <w:r w:rsidRPr="007E570A">
              <w:rPr>
                <w:rFonts w:ascii="Book Antiqua" w:hAnsi="Book Antiqua"/>
                <w:sz w:val="18"/>
              </w:rPr>
              <w:t>i smug. Skutecznie nabłyszcza. Maskuje drobne pory i mikrorysy – chroni przed wnikaniem brudu i kurzu. Tworzy warstwę wygładzającą.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E570A" w:rsidRPr="00812A45" w:rsidRDefault="007E570A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E570A" w:rsidRDefault="003F5CA5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7E570A">
              <w:rPr>
                <w:rFonts w:ascii="Book Antiqua" w:hAnsi="Book Antiqua"/>
                <w:sz w:val="18"/>
                <w:szCs w:val="18"/>
              </w:rPr>
              <w:t>p.</w:t>
            </w:r>
          </w:p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3F5CA5">
              <w:rPr>
                <w:rFonts w:ascii="Book Antiqua" w:hAnsi="Book Antiqua"/>
                <w:sz w:val="18"/>
                <w:szCs w:val="18"/>
              </w:rPr>
              <w:t>0,25 litra)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70A" w:rsidRDefault="00D429D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BB2E57">
        <w:trPr>
          <w:trHeight w:val="469"/>
          <w:jc w:val="center"/>
        </w:trPr>
        <w:tc>
          <w:tcPr>
            <w:tcW w:w="793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902F97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 w:rsidRPr="00902F97"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 w:rsidRPr="00902F97">
              <w:rPr>
                <w:rFonts w:ascii="Book Antiqua" w:hAnsi="Book Antiqua"/>
                <w:b/>
              </w:rPr>
              <w:t>RAZEM</w:t>
            </w:r>
            <w:r w:rsidR="00110BD1" w:rsidRPr="00902F97">
              <w:rPr>
                <w:rFonts w:ascii="Book Antiqua" w:hAnsi="Book Antiqua"/>
                <w:b/>
              </w:rPr>
              <w:t>:</w:t>
            </w:r>
            <w:r w:rsidRPr="00902F97"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  <w:r w:rsidRPr="00902F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:rsidR="008E0B8E" w:rsidRPr="00BB2E57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producenta) ” asortymentu niespełniającego wymagań Zamawiającego  (zwłaszcza w zakresie dozowania!)  oferta zostanie odrzucona i nie będzie podlegać ocenie.</w:t>
      </w:r>
    </w:p>
    <w:p w:rsidR="008E0B8E" w:rsidRPr="00BB2E57" w:rsidRDefault="008E0B8E" w:rsidP="008E0B8E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12"/>
          <w:szCs w:val="12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Zamawiający dopuszcza alternatywne zaoferowanie przez Wykonawcę środków w opakowaniach o n/w pojemności: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1 litr – op. 500 ml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5 litrów – op. 10 l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takim przypadku bezwzględnie konieczne jest odpowiednie przeliczenie maksymalnie zakładanej ilości asortymentu.</w:t>
      </w:r>
    </w:p>
    <w:p w:rsidR="0088116B" w:rsidRDefault="0088116B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88116B" w:rsidSect="00D046EE">
      <w:footerReference w:type="default" r:id="rId8"/>
      <w:pgSz w:w="16838" w:h="11906" w:orient="landscape" w:code="9"/>
      <w:pgMar w:top="709" w:right="1134" w:bottom="426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C6" w:rsidRDefault="00CE49C6" w:rsidP="000E678C">
      <w:pPr>
        <w:spacing w:after="0" w:line="240" w:lineRule="auto"/>
      </w:pPr>
      <w:r>
        <w:separator/>
      </w:r>
    </w:p>
  </w:endnote>
  <w:endnote w:type="continuationSeparator" w:id="0">
    <w:p w:rsidR="00CE49C6" w:rsidRDefault="00CE49C6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334141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728583463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803473628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8"/>
                <w:szCs w:val="18"/>
              </w:rPr>
            </w:sdtEndPr>
            <w:sdtContent>
              <w:p w:rsidR="00D429DA" w:rsidRPr="00F2313E" w:rsidRDefault="00D429DA" w:rsidP="00D429DA">
                <w:pPr>
                  <w:pStyle w:val="Stopka"/>
                  <w:ind w:left="5390" w:firstLine="3827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pieczątka i podpis osób(-y) upoważnionych(-ej)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do reprezentowania Wykonawcy lub Pełnomocnika Wykonawcy</w:t>
                </w:r>
              </w:p>
            </w:sdtContent>
          </w:sdt>
          <w:p w:rsidR="00D429DA" w:rsidRDefault="00CE49C6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Default="00D429DA">
        <w:pPr>
          <w:pStyle w:val="Stopka"/>
          <w:jc w:val="center"/>
        </w:pPr>
      </w:p>
      <w:p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B2E57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BB2E57">
          <w:rPr>
            <w:rFonts w:ascii="Book Antiqua" w:hAnsi="Book Antiqua"/>
            <w:sz w:val="18"/>
            <w:szCs w:val="18"/>
          </w:rPr>
          <w:t>4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C6" w:rsidRDefault="00CE49C6" w:rsidP="000E678C">
      <w:pPr>
        <w:spacing w:after="0" w:line="240" w:lineRule="auto"/>
      </w:pPr>
      <w:r>
        <w:separator/>
      </w:r>
    </w:p>
  </w:footnote>
  <w:footnote w:type="continuationSeparator" w:id="0">
    <w:p w:rsidR="00CE49C6" w:rsidRDefault="00CE49C6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B120F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0A8B"/>
    <w:rsid w:val="0018231A"/>
    <w:rsid w:val="0019242B"/>
    <w:rsid w:val="00193772"/>
    <w:rsid w:val="001A67AE"/>
    <w:rsid w:val="001B034A"/>
    <w:rsid w:val="001B05A3"/>
    <w:rsid w:val="001D02A1"/>
    <w:rsid w:val="001E22B9"/>
    <w:rsid w:val="002042BC"/>
    <w:rsid w:val="00210543"/>
    <w:rsid w:val="0021096F"/>
    <w:rsid w:val="0021097F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E5E2C"/>
    <w:rsid w:val="003F302B"/>
    <w:rsid w:val="003F5CA5"/>
    <w:rsid w:val="003F5D40"/>
    <w:rsid w:val="00401985"/>
    <w:rsid w:val="00406BD4"/>
    <w:rsid w:val="0041109D"/>
    <w:rsid w:val="0041137A"/>
    <w:rsid w:val="00424D61"/>
    <w:rsid w:val="00427520"/>
    <w:rsid w:val="004404F8"/>
    <w:rsid w:val="00446A21"/>
    <w:rsid w:val="00455430"/>
    <w:rsid w:val="004659CC"/>
    <w:rsid w:val="00476490"/>
    <w:rsid w:val="00497083"/>
    <w:rsid w:val="004C028A"/>
    <w:rsid w:val="004E1EB0"/>
    <w:rsid w:val="004E3DFA"/>
    <w:rsid w:val="004E74D9"/>
    <w:rsid w:val="00504373"/>
    <w:rsid w:val="005118D7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65F31"/>
    <w:rsid w:val="00667CC7"/>
    <w:rsid w:val="00672326"/>
    <w:rsid w:val="0068075A"/>
    <w:rsid w:val="00683A47"/>
    <w:rsid w:val="006A17EA"/>
    <w:rsid w:val="006A20B6"/>
    <w:rsid w:val="006C726A"/>
    <w:rsid w:val="006D79B6"/>
    <w:rsid w:val="006F2692"/>
    <w:rsid w:val="00713E93"/>
    <w:rsid w:val="00731C5A"/>
    <w:rsid w:val="0073248B"/>
    <w:rsid w:val="00741A7C"/>
    <w:rsid w:val="00770BDD"/>
    <w:rsid w:val="00781E2B"/>
    <w:rsid w:val="007906A0"/>
    <w:rsid w:val="007B1585"/>
    <w:rsid w:val="007B2017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4238"/>
    <w:rsid w:val="00853CEC"/>
    <w:rsid w:val="008672FF"/>
    <w:rsid w:val="0088116B"/>
    <w:rsid w:val="008B3DD1"/>
    <w:rsid w:val="008E0B8E"/>
    <w:rsid w:val="008E6074"/>
    <w:rsid w:val="008F1A36"/>
    <w:rsid w:val="00902F97"/>
    <w:rsid w:val="00916A44"/>
    <w:rsid w:val="009465AA"/>
    <w:rsid w:val="00977327"/>
    <w:rsid w:val="00983B14"/>
    <w:rsid w:val="009B20B9"/>
    <w:rsid w:val="009E5E16"/>
    <w:rsid w:val="009F3EF0"/>
    <w:rsid w:val="00A005D0"/>
    <w:rsid w:val="00A11889"/>
    <w:rsid w:val="00A14642"/>
    <w:rsid w:val="00A34DE5"/>
    <w:rsid w:val="00A441D3"/>
    <w:rsid w:val="00A62327"/>
    <w:rsid w:val="00A644DD"/>
    <w:rsid w:val="00A836A0"/>
    <w:rsid w:val="00A85763"/>
    <w:rsid w:val="00A908EC"/>
    <w:rsid w:val="00AA4B68"/>
    <w:rsid w:val="00AC017B"/>
    <w:rsid w:val="00AD13A8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969AA"/>
    <w:rsid w:val="00DA41C6"/>
    <w:rsid w:val="00DB2345"/>
    <w:rsid w:val="00DB612F"/>
    <w:rsid w:val="00DC54CA"/>
    <w:rsid w:val="00DD386A"/>
    <w:rsid w:val="00E16A2A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764E-46B2-4888-B654-AFF62467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Dominika</cp:lastModifiedBy>
  <cp:revision>2</cp:revision>
  <cp:lastPrinted>2018-02-22T15:34:00Z</cp:lastPrinted>
  <dcterms:created xsi:type="dcterms:W3CDTF">2018-02-22T15:34:00Z</dcterms:created>
  <dcterms:modified xsi:type="dcterms:W3CDTF">2018-02-22T15:34:00Z</dcterms:modified>
</cp:coreProperties>
</file>